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Comune di CANNETO SULL'OGLIO</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Piazza Matteotti n. 1</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46013 Canneto sull'Oglio</w:t>
      </w:r>
      <w:r w:rsidR="008F434A" w:rsidRPr="008F434A">
        <w:rPr>
          <w:rFonts w:ascii="Times New Roman" w:hAnsi="Times New Roman"/>
          <w:sz w:val="20"/>
          <w:szCs w:val="20"/>
          <w:lang w:val="en-US"/>
        </w:rPr>
        <w:t xml:space="preserve"> MN</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ATTIVITA': </w:t>
      </w:r>
      <w:r w:rsidR="00221F1B" w:rsidRPr="00024185">
        <w:rPr>
          <w:rFonts w:ascii="Times New Roman" w:hAnsi="Times New Roman"/>
          <w:b/>
          <w:sz w:val="20"/>
          <w:szCs w:val="20"/>
          <w:lang w:val="en-US"/>
        </w:rPr>
        <w:t>Prevenzione della corruzione e illegalita'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2022/2024</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ATTIVITA':</w:t>
      </w:r>
    </w:p>
    <w:p w14:paraId="64CA7138" w14:textId="77777777" w:rsidR="002A345E" w:rsidRPr="00024185" w:rsidRDefault="002A345E" w:rsidP="00BE50E9">
      <w:pPr>
        <w:rPr>
          <w:lang w:val="en-US"/>
        </w:rPr>
      </w:pPr>
      <w:r w:rsidRPr="00024185">
        <w:rPr>
          <w:lang w:val="en-US"/>
        </w:rPr>
        <w:t>Segretario Comunale Coppola Paolo</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Sistema di gestione del rischio di corruzione-PTPCT</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Monitoraggio funzionamento PTPCT e monitoraggio singole misure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Attivazione del sistema di tutela del dipendente che segnala illeciti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Giornate della Trasparenza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O) Accesso e Trasparenza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Tutti i macroprocessi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Trasparenza e promozione trasparenza smart 2.0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Attivita' relativa alla gestione delle segnalazioni di illeciti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Indirizzi generali e obiettivi strategici in materia di prevenzione della corruzione e di trasparenza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Z) Amministratori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8 Formazione sulla prevenzione della corruzione e della illegalita'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Prevenzione della corruzione e illegalita'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